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34523E" w:rsidP="1D1BF982" w:rsidRDefault="7634523E" w14:paraId="2EBFB938" w14:textId="357234BE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Diskusjonsoppgaver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Descartes -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(del 1)</w:t>
      </w:r>
    </w:p>
    <w:p w:rsidR="1D1BF982" w:rsidP="1D1BF982" w:rsidRDefault="1D1BF982" w14:paraId="32384B4A" w14:textId="514FFEE9">
      <w:pPr>
        <w:pStyle w:val="Normal"/>
      </w:pPr>
    </w:p>
    <w:p w:rsidR="7634523E" w:rsidP="1D1BF982" w:rsidRDefault="7634523E" w14:paraId="3567C3B4" w14:textId="3E69519F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Særlig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relevante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tekster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: René Descartes (1980)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 ss. 13 – 49 (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 – III), A. Kenny (2008),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The Rise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Modern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Philosophy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ss. 33-41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ss. 117-127, L.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Aryeh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Kosman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(1986) «The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Naïve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Narrator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: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Meditation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in 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Meditations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.»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I: Essays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Meditations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Amélie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Oksenberg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Rorty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(red.). (Berkeley: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University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California Press) ss. 21 –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41.og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Bernard Williams (2006) «Descartes’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Use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Scepticism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». </w:t>
      </w:r>
    </w:p>
    <w:p w:rsidR="1D1BF982" w:rsidP="1D1BF982" w:rsidRDefault="1D1BF982" w14:paraId="5AC44A2B" w14:textId="573480C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7634523E" w:rsidP="1D1BF982" w:rsidRDefault="7634523E" w14:paraId="3259B93C" w14:textId="5CC9025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kjennetegner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filosofiske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metode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skiller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Platons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?</w:t>
      </w:r>
    </w:p>
    <w:p w:rsidR="7634523E" w:rsidP="1D1BF982" w:rsidRDefault="7634523E" w14:paraId="50D22AA7" w14:textId="5FFEB2C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det å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for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hvordan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vi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leser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boken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det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vi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leser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?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Gjorde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samtidens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sjangerforventninger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bok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religiøs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tekst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? (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særlig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Descartes'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innledende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bemerkninger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forelesningen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Aryeh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Kosman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.)</w:t>
      </w:r>
    </w:p>
    <w:p w:rsidR="7634523E" w:rsidP="1D1BF982" w:rsidRDefault="7634523E" w14:paraId="05F6A9D5" w14:textId="016E0E3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omtales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som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rasjonalist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som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dualist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Forklar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først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kort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som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ligger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hvert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disse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begrepene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Forklar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deretter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hvorfor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ev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hvorfor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ikke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 du/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dette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rimelige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karakteriseringer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filosofi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="7634523E" w:rsidP="1D1BF982" w:rsidRDefault="7634523E" w14:paraId="1CEEAF9D" w14:textId="217D79E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 Descartes’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cogito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-argument»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gyldig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oppnår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med det? (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Avsnitt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6, II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</w:t>
      </w:r>
    </w:p>
    <w:p w:rsidR="7634523E" w:rsidP="1D1BF982" w:rsidRDefault="7634523E" w14:paraId="6D8930EA" w14:textId="00826BF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Peirce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kritiserte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for å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bygge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på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bare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ett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sinn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vitenskapen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bygger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på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fellesskap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undersøkere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Men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dette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rimelig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kritikk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Descartes?</w:t>
      </w:r>
    </w:p>
    <w:p w:rsidR="7634523E" w:rsidP="1D1BF982" w:rsidRDefault="7634523E" w14:paraId="4685047C" w14:textId="3CDDB6B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Oversikt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over de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følgende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seks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»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skriver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bl.a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dette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: «I den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tredje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synes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jeg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jeg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lagt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tilstrekkelig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utførlig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mitt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viktigste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argument for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Guds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eksistens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.» (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Avsnitt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14)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Forklar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argumentet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går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på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Ta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deretter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begrunnet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stilling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om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argumentet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overbevisende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eller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Forklar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deretter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kort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hvilken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rolle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Gud spiller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filosofiske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prosjekt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="7634523E" w:rsidP="1D1BF982" w:rsidRDefault="7634523E" w14:paraId="5C2F4735" w14:textId="263F5B2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 “Descartes’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Use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Scepticism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”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skriver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Bernard Williams: “In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Meditations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proceeds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and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does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so, it is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clear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self-consciously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through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three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levels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doubts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” (s. 234).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Forklar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hvert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de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nivåene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tvil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beløper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seg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Forklar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deretter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hvorfor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selv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mente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gjennom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sin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radikale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metodiske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tvil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var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stand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å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tilbakevise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skeptisismens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utfordring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gang for alle.</w:t>
      </w:r>
    </w:p>
    <w:p w:rsidR="1D1BF982" w:rsidP="1D1BF982" w:rsidRDefault="1D1BF982" w14:paraId="1BF23D8E" w14:textId="001AC8E8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="7634523E" w:rsidP="1D1BF982" w:rsidRDefault="7634523E" w14:paraId="125739CE" w14:textId="6A5F3860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Diskusjonsoppgaver Descartes del 2</w:t>
      </w:r>
    </w:p>
    <w:p w:rsidR="1D1BF982" w:rsidP="1D1BF982" w:rsidRDefault="1D1BF982" w14:paraId="63A6B87C" w14:textId="58973DA4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7634523E" w:rsidP="1D1BF982" w:rsidRDefault="7634523E" w14:paraId="5E77597F" w14:textId="473C6EF8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Relevante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tekster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: René Descartes (1980)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 ss. 50 – 77 (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IV – VI), A. Kenny (2008),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The Rise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Modern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Philosophy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ss. 33-41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ss. 117-127, Eric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Schwitzgebel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(2008) “The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Unreliability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Naïve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Instrospection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”.</w:t>
      </w:r>
    </w:p>
    <w:p w:rsidR="1D1BF982" w:rsidP="1D1BF982" w:rsidRDefault="1D1BF982" w14:paraId="24891AD0" w14:textId="30508BE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7634523E" w:rsidP="1D1BF982" w:rsidRDefault="7634523E" w14:paraId="35C1058D" w14:textId="037B28E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skiller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gudsbevisene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III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V?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Hvilket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av dem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mest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overbevisende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?</w:t>
      </w:r>
    </w:p>
    <w:p w:rsidR="7634523E" w:rsidP="1D1BF982" w:rsidRDefault="7634523E" w14:paraId="4C77208D" w14:textId="025E516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forestillingen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om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allmektig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allgod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» Gud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konsistent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? Har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dette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noen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betydning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for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gudsbevisene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?</w:t>
      </w:r>
    </w:p>
    <w:p w:rsidR="7634523E" w:rsidP="1D1BF982" w:rsidRDefault="7634523E" w14:paraId="31CB92F8" w14:textId="6CEDCD6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Hvordan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klarhet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»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tydelighet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»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garantere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mot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feil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erkjennelse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? (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IV)</w:t>
      </w:r>
    </w:p>
    <w:p w:rsidR="7634523E" w:rsidP="1D1BF982" w:rsidRDefault="7634523E" w14:paraId="38773C1F" w14:textId="52090AD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blir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betegnet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som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rasjonalist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Hva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er det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ved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Descartes’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filosofi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slik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fremkommer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</w:rPr>
        <w:t>Meditasjoner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som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gjør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aktuelt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å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klassifisere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på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denne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måten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?</w:t>
      </w:r>
    </w:p>
    <w:p w:rsidR="7634523E" w:rsidP="1D1BF982" w:rsidRDefault="7634523E" w14:paraId="10082860" w14:textId="402F754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meditasjon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IV (I)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bemerket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lite man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vite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om de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legemlige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ting,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det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langt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man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vite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om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menneskeånden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…». 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artikkelen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“The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Unreliability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Naïve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Introspection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”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hevder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Eric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Schwitzgebel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at «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Descartes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.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had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quite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backwards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when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said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mind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including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expecially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current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conscious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experience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was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better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known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outside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world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» (s. 267).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Hvem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har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rett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?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Begrunn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svaret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–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gjerne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med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eksempler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="7634523E" w:rsidP="1D1BF982" w:rsidRDefault="7634523E" w14:paraId="5DF332A5" w14:textId="01D93AB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Hvordan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det ha seg,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følge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Schwitzgebel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at vi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ikke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skjønner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dårlige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vi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på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introspeksjon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(se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særlig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del viii)?</w:t>
      </w:r>
    </w:p>
    <w:p w:rsidR="7634523E" w:rsidP="1D1BF982" w:rsidRDefault="7634523E" w14:paraId="362A3471" w14:textId="2C9E368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Våre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dommer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om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verden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er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sikrere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enn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våre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dommer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om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våre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erfaringer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hevder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Schwitzgebel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(s. 268)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Hvordan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ville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Descartes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argumentert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mot et 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slikt</w:t>
      </w:r>
      <w:r w:rsidRPr="1D1BF982" w:rsidR="7634523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syn?</w:t>
      </w:r>
    </w:p>
    <w:p w:rsidR="1D1BF982" w:rsidP="1D1BF982" w:rsidRDefault="1D1BF982" w14:paraId="2E0C5F87" w14:textId="27B80A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118bd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d5b5a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473d6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846C0"/>
    <w:rsid w:val="19E458C0"/>
    <w:rsid w:val="1D1BF982"/>
    <w:rsid w:val="54970623"/>
    <w:rsid w:val="5CE846C0"/>
    <w:rsid w:val="7634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9979"/>
  <w15:chartTrackingRefBased/>
  <w15:docId w15:val="{90E85D7B-6592-46F9-8D5E-661F9A07AE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D1BF982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D1BF98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D1BF98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D1BF982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D1BF9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D1BF98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D1BF98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D1BF9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D1BF98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D1BF9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D1BF98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D1BF98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D1BF98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D1BF98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D1BF98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D1BF98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1D1BF98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1D1BF98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1D1BF9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1D1BF98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1D1BF98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1D1BF9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1D1BF98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1D1BF9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1D1BF98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1D1BF98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1D1BF982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D1BF982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1D1BF98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D1BF98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D1BF98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D1BF98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D1BF98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D1BF98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D1BF98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D1BF98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D1BF98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D1BF98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D1BF982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1D1BF982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D1BF982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D1BF98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D1BF982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1D1BF982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D1BF982"/>
    <w:rPr>
      <w:noProof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6e40fbd3cd49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2023-03-19T08:11:51.3519012Z</dcterms:created>
  <dcterms:modified xsi:type="dcterms:W3CDTF">2023-03-19T08:13:54.5771023Z</dcterms:modified>
  <dc:creator>Bjorn Sether Wastvedt</dc:creator>
  <lastModifiedBy>Bjorn Sether Wastvedt</lastModifiedBy>
</coreProperties>
</file>